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_______</w:t>
      </w:r>
      <w:r>
        <w:rPr>
          <w:vertAlign w:val="superscript"/>
        </w:rPr>
        <w:t>th</w:t>
      </w:r>
      <w:r>
        <w:rPr/>
        <w:t xml:space="preserve"> day of ____, </w:t>
      </w:r>
      <w:r>
        <w:rPr>
          <w:rFonts w:eastAsia="Calibri" w:cs="Calibri"/>
          <w:color w:val="auto"/>
          <w:kern w:val="0"/>
          <w:sz w:val="24"/>
          <w:szCs w:val="24"/>
          <w:lang w:val="en-US" w:eastAsia="zh-CN" w:bidi="hi-IN"/>
        </w:rPr>
        <w:t>2022</w:t>
      </w:r>
      <w:r>
        <w:rPr/>
        <w:t>, by _______________________________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not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Garages, Storage Buildings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a size at least large enough to enclose three (3) passenger vehicles in new homes built after 2009. Primary garages shall be part of the Residence. One additional detached garage or storage building is allowed and is limited in size to an area of between 200 and 1500 square feet. All such structures shall be constructed out of the same material as the Residence and the siting will be carefully chosen to minimize visual impact from roads and adjoining Lots.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occupancy structures such as cottages, guest houses, etc. will be permitted.  An Auxiliary Structure is any structure on the Property, excluding the following: the residence, a detached garage, all driveways, and a mailbox.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totaling not more than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Auxiliary Structures include tool sheds, garden </w:t>
      </w:r>
      <w:r>
        <w:rPr>
          <w:rFonts w:eastAsia="Calibri" w:cs="Calibri"/>
          <w:b w:val="false"/>
          <w:i w:val="false"/>
          <w:caps w:val="false"/>
          <w:smallCaps w:val="false"/>
          <w:strike w:val="false"/>
          <w:dstrike w:val="false"/>
          <w:color w:val="000000"/>
          <w:position w:val="0"/>
          <w:sz w:val="24"/>
          <w:sz w:val="24"/>
          <w:szCs w:val="24"/>
          <w:u w:val="none"/>
          <w:vertAlign w:val="baseline"/>
        </w:rPr>
        <w:t>sheds, green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houses, pool cabanas, pagodas, and the like.  The determination of whether a proposed Auxiliary Structure qualifies under this clause shall be made by the ARC for any proposed structure not explicitly named in this clause.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ecks and related screens, trellises, etc., attached to the Residence, may be proposed for construction on the Lot, .  All such Outbuildings and Decks require prior ARC approval of consistency with the Residence and neighborhood appearance standards.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ground-level view of other Lots and roads.  If fenced in or walled in, any such equipment shall be no taller than the height of the enclosure.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must utilize the standard trash collection containers in conformity with the standards established by the trash collection service, if any,  contracted by the Owner.</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covering of each roof shall be either composite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Residence structure or garage 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border walls and fences shall be subject to approval by the ARC. Barbed wire and chain-link fencing within the Property or along any exterior boundary of the Property is prohibited, except for a small dog run, if ARC approved.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Each Lot is restricted to use as a single family Residence and accessory uses as permitted herein. A single-family Residence is defined as a single housekeeping unit, operating on a nonprofit, noncommercial basis with a common kitchen and dining area. Nothing contained in this Paragraph, however, shall be construed as preventing the renting or leasing of a Residence in its entirety to a single family. Commercial activities conducted wholly within the home are permitted, such as, but not limited to, a home office for consulting or bookkeeping, provided that the commercial activity does not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affect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exterior appearance, create noise, nor create business-related traffic to the home.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Lots shall be used for transient, hotel or motel purposes, or for short-term rentals.  Rentals of less than ninety (90) days in duration are prohibited, such as VRBO, Airbnb, and similar-type operations.  No industry, business, trade, commercial activities or pursuits for profit shall be conducted within and Lot, except to the extent allowed by the County zoning code for home businesses.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 dangerous or unsafe activity shall be carried on upon any portion of the Property, nor shall anything be done, either willfully or negligently or placed thereon which is or may become a nuisance or cause an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Vehicles of  short-term guests or agents of Owners may be parked for no more than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inoperable vehicles shall be kept on the Lot or any road adjacent thereto in any area other than in the garage. Any vehicle parked outside of the garage must be parked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Garages are restricted to occupancy by the Owner of the Lot for storage and for parking spaces for vehicles. Garage doors shall remain closed when not in use for ingress or egress of vehicles.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snowmobile, recreational vehicle or any other vehicle, the primary purpose of which is for recreational or sporting use. With prior ARC approval, Auxiliary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ehicles may be stored in a fenced area, with a fence no higher than seven (7) feet, completely concealed from the ground-level view of other Lots and roads.  Otherwise, all Auxiliary Vehicles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garage or offsite.  RVs, boats and campers may be parked on the property at the side or rear or in the driveway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for no more than two (2) weeks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written notice to an Owner, 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Except during construction, as set forth above, no tent, shack, temporary structure or temporary building or building materials shall be placed, stored or maintained upon the Lot. Snow fences are permitted between October 1 and May 31 and should be removed prior to June 1. </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 or a single candidate sign not exceeding 1</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 24” for each ballot race, and except any other 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of at least two thirds (2/3's)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widowControl/>
        <w:numPr>
          <w:ilvl w:val="0"/>
          <w:numId w:val="0"/>
        </w:numPr>
        <w:shd w:val="clear" w:fill="auto"/>
        <w:spacing w:lineRule="auto" w:line="276" w:before="0" w:after="0"/>
        <w:ind w:left="360" w:right="0" w:hanging="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amendment to this Declaration shall be prepared, executed, recorded and certified on behalf of the Association by any officer of the Association designated for that purpose by the Board of Directors, or in the absence of such designation, by the President of the Association, who shall certify that the requisite percentage of Owners have consented to such amendment. The written consents of such Owners shall not be required to be recorded with the amendment, but shall be placed and held in the records of the Association for at least one year following the recording of the amendment. No action to challenge the validity of an amendment adopted by the Association pursuant to this paragraph may be brought more than one year after the amendment is recorded. </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88</TotalTime>
  <Application>LibreOffice/6.4.7.2$Linux_X86_64 LibreOffice_project/40$Build-2</Application>
  <Pages>18</Pages>
  <Words>8215</Words>
  <Characters>41861</Characters>
  <CharactersWithSpaces>49845</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2022-03-08T16:54:38Z</dcterms:modified>
  <cp:revision>15</cp:revision>
  <dc:subject/>
  <dc:title/>
</cp:coreProperties>
</file>