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Times New Roman" w:hAnsi="Times New Roman"/>
          <w:sz w:val="28"/>
          <w:szCs w:val="28"/>
        </w:rPr>
      </w:pPr>
      <w:r>
        <w:rPr>
          <w:rFonts w:eastAsia="Noto Serif CJK SC" w:cs="Lohit Devanagari" w:ascii="Times New Roman" w:hAnsi="Times New Roman"/>
          <w:b/>
          <w:bCs/>
          <w:color w:val="auto"/>
          <w:kern w:val="2"/>
          <w:sz w:val="28"/>
          <w:szCs w:val="28"/>
          <w:u w:val="none"/>
          <w:lang w:val="en-US" w:eastAsia="zh-CN" w:bidi="hi-IN"/>
        </w:rPr>
        <w:t xml:space="preserve">Covenants Update </w:t>
      </w:r>
      <w:r>
        <w:rPr>
          <w:rFonts w:eastAsia="Noto Serif CJK SC" w:cs="Lohit Devanagari" w:ascii="Times New Roman" w:hAnsi="Times New Roman"/>
          <w:b/>
          <w:bCs/>
          <w:color w:val="2A6099"/>
          <w:kern w:val="2"/>
          <w:sz w:val="28"/>
          <w:szCs w:val="28"/>
          <w:u w:val="none"/>
          <w:lang w:val="en-US" w:eastAsia="zh-CN" w:bidi="hi-IN"/>
        </w:rPr>
        <w:t>Group 1</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t xml:space="preserve">6.2(g) Storage of Vehicles. [change first half of paragraph to the following:] Vehicles of short-term guests or agents of Owners may be parked for no more than </w:t>
      </w:r>
      <w:r>
        <w:rPr>
          <w:lang w:val="en-US" w:eastAsia="zh-CN" w:bidi="hi-IN"/>
        </w:rPr>
        <w:t>fourteen (14) days.</w:t>
      </w:r>
      <w:r>
        <w:rPr/>
        <w:t xml:space="preserve"> </w:t>
      </w:r>
      <w:r>
        <w:rPr>
          <w:lang w:val="en-US" w:eastAsia="zh-CN" w:bidi="hi-IN"/>
        </w:rPr>
        <w:t>N</w:t>
      </w:r>
      <w:r>
        <w:rPr/>
        <w:t xml:space="preserve">o inoperable vehicles shall be kept on the Lot or any road adjacent thereto in any area other than in the garage. Any vehicle parked outside of the garage must be parked </w:t>
      </w:r>
      <w:r>
        <w:rPr>
          <w:lang w:val="en-US" w:eastAsia="zh-CN" w:bidi="hi-IN"/>
        </w:rPr>
        <w:t>on or adjacent to</w:t>
      </w:r>
      <w:r>
        <w:rPr/>
        <w:t xml:space="preserve"> a driveway and driven off the lot at least once a week.  Garages are restricted to occupancy by the Owner of the Lot for storage and for parking spaces for vehicles. Garage doors shall remain closed when not in use for ingress or egress of vehicles.</w:t>
      </w:r>
    </w:p>
    <w:p>
      <w:pPr>
        <w:pStyle w:val="Normal"/>
        <w:rPr>
          <w:rFonts w:ascii="Times New Roman" w:hAnsi="Times New Roman"/>
          <w:sz w:val="28"/>
          <w:szCs w:val="28"/>
        </w:rPr>
      </w:pPr>
      <w:r>
        <w:rPr>
          <w:rFonts w:ascii="Times New Roman" w:hAnsi="Times New Roman"/>
          <w:sz w:val="28"/>
          <w:szCs w:val="28"/>
        </w:rPr>
      </w:r>
    </w:p>
    <w:p>
      <w:pPr>
        <w:pStyle w:val="Normal"/>
        <w:rPr>
          <w:i/>
          <w:i/>
          <w:iCs/>
        </w:rPr>
      </w:pPr>
      <w:r>
        <w:rPr>
          <w:i/>
          <w:iCs/>
        </w:rPr>
        <w:t>[</w:t>
      </w:r>
      <w:r>
        <w:rPr>
          <w:i/>
          <w:iCs/>
        </w:rPr>
        <w:t xml:space="preserve">Comment: Many residents have an additional vehicle.  Parking a vehicle on or beside the driveway, so long as the vehicle is routinely used, </w:t>
      </w:r>
      <w:r>
        <w:rPr>
          <w:rFonts w:eastAsia="Noto Serif CJK SC" w:cs="Lohit Devanagari"/>
          <w:i/>
          <w:iCs/>
          <w:color w:val="auto"/>
          <w:kern w:val="2"/>
          <w:sz w:val="24"/>
          <w:szCs w:val="24"/>
          <w:lang w:val="en-US" w:eastAsia="zh-CN" w:bidi="hi-IN"/>
        </w:rPr>
        <w:t>w</w:t>
      </w:r>
      <w:r>
        <w:rPr>
          <w:i/>
          <w:iCs/>
        </w:rPr>
        <w:t>ould be allowed, to make life a little easier in our neighborhood.</w:t>
      </w:r>
      <w:r>
        <w:rPr>
          <w:i/>
          <w:iCs/>
        </w:rPr>
        <w:t>]</w:t>
      </w:r>
    </w:p>
    <w:p>
      <w:pPr>
        <w:pStyle w:val="Normal"/>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eastAsia="Noto Serif CJK SC" w:cs="Lohit Devanagari" w:ascii="Times New Roman" w:hAnsi="Times New Roman"/>
          <w:b/>
          <w:bCs/>
          <w:color w:val="auto"/>
          <w:kern w:val="2"/>
          <w:sz w:val="28"/>
          <w:szCs w:val="28"/>
          <w:u w:val="none"/>
          <w:lang w:val="en-US" w:eastAsia="zh-CN" w:bidi="hi-IN"/>
        </w:rPr>
        <w:t xml:space="preserve">Covenants Update </w:t>
      </w:r>
      <w:r>
        <w:rPr>
          <w:rFonts w:eastAsia="Noto Serif CJK SC" w:cs="Lohit Devanagari" w:ascii="Times New Roman" w:hAnsi="Times New Roman"/>
          <w:b/>
          <w:bCs/>
          <w:color w:val="2A6099"/>
          <w:kern w:val="2"/>
          <w:sz w:val="28"/>
          <w:szCs w:val="28"/>
          <w:u w:val="none"/>
          <w:lang w:val="en-US" w:eastAsia="zh-CN" w:bidi="hi-IN"/>
        </w:rPr>
        <w:t>Group 2</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t xml:space="preserve">6.1(f) </w:t>
      </w:r>
      <w:r>
        <w:rPr>
          <w:u w:val="single"/>
        </w:rPr>
        <w:t>Outbuildings and Decks.</w:t>
      </w:r>
      <w:r>
        <w:rPr/>
        <w:t xml:space="preserve">  No detached occupancy structures such as cottages, guest houses, etc. will be permitted.  </w:t>
      </w:r>
      <w:r>
        <w:rPr>
          <w:lang w:val="en-US" w:eastAsia="zh-CN" w:bidi="hi-IN"/>
        </w:rPr>
        <w:t>Up to</w:t>
      </w:r>
      <w:r>
        <w:rPr/>
        <w:t xml:space="preserve"> two detached Auxiliary Structures are permitted.  Auxiliary Structures are non-occupancy detached structures of </w:t>
      </w:r>
      <w:r>
        <w:rPr>
          <w:lang w:val="en-US" w:eastAsia="zh-CN" w:bidi="hi-IN"/>
        </w:rPr>
        <w:t>400</w:t>
      </w:r>
      <w:r>
        <w:rPr/>
        <w:t xml:space="preserve"> square feet or less, excluding a garage, which include tool sheds, garden sheds, greenhouses, pool cabanas, pagodas, and the like.  The determination of whether a proposed Auxiliary Structure qualifies under this clause shall be made by the ARC for any proposed structure not explicitly named in this clause   </w:t>
      </w:r>
      <w:r>
        <w:rPr>
          <w:lang w:val="en-US" w:eastAsia="zh-CN" w:bidi="hi-IN"/>
        </w:rPr>
        <w:t>D</w:t>
      </w:r>
      <w:r>
        <w:rPr/>
        <w:t>ecks and related screens, trellises, etc., attached to the Residence, may be proposed for construction on the Lot.  All such Outbuildings and Decks require prior ARC approval of consistency with the Residence and neighborhood appearance standards.</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w:t>
      </w:r>
      <w:r>
        <w:rPr>
          <w:i/>
          <w:iCs/>
        </w:rPr>
        <w:t xml:space="preserve">Comment: </w:t>
      </w:r>
      <w:r>
        <w:rPr>
          <w:rFonts w:eastAsia="Noto Serif CJK SC" w:cs="Lohit Devanagari"/>
          <w:i/>
          <w:iCs/>
          <w:color w:val="auto"/>
          <w:kern w:val="2"/>
          <w:sz w:val="24"/>
          <w:szCs w:val="24"/>
          <w:lang w:val="en-US" w:eastAsia="zh-CN" w:bidi="hi-IN"/>
        </w:rPr>
        <w:t>Our neighbors should be able to enjoy the land in which they have invested, while we all want an uncluttered neighborhood, so some limitation is appropriate.</w:t>
      </w:r>
      <w:r>
        <w:rPr>
          <w:rFonts w:eastAsia="Noto Serif CJK SC" w:cs="Lohit Devanagari"/>
          <w:i/>
          <w:iCs/>
          <w:color w:val="auto"/>
          <w:kern w:val="2"/>
          <w:sz w:val="24"/>
          <w:szCs w:val="24"/>
          <w:lang w:val="en-US" w:eastAsia="zh-CN" w:bidi="hi-IN"/>
        </w:rPr>
        <w:t>]</w:t>
      </w:r>
    </w:p>
    <w:p>
      <w:pPr>
        <w:pStyle w:val="Normal"/>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t xml:space="preserve">6.1(g) </w:t>
      </w:r>
      <w:r>
        <w:rPr>
          <w:u w:val="single"/>
        </w:rPr>
        <w:t>Enclosures.</w:t>
      </w:r>
      <w:r>
        <w:rPr/>
        <w:t xml:space="preserve">  [add “ground-level” in statement “concealed from the ground-level view of other Lots and roads”.]</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t xml:space="preserve">6.1(j) </w:t>
      </w:r>
      <w:r>
        <w:rPr>
          <w:u w:val="single"/>
        </w:rPr>
        <w:t>Construction Type.</w:t>
      </w:r>
      <w:r>
        <w:rPr/>
        <w:t xml:space="preserve">  [added “Residence” and “for occupancy”]  All Residence construction shall be new. No premanufactured structure, building previously used at another location or building or structure originally constructed as a mobile dwelling may be moved onto a Lot for occupancy. Geodesic domes or similar structures are not permitted.</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w:t>
      </w:r>
      <w:r>
        <w:rPr>
          <w:i/>
          <w:iCs/>
        </w:rPr>
        <w:t xml:space="preserve">Comment: </w:t>
      </w:r>
      <w:r>
        <w:rPr>
          <w:rFonts w:eastAsia="Noto Serif CJK SC" w:cs="Lohit Devanagari"/>
          <w:i/>
          <w:iCs/>
          <w:color w:val="auto"/>
          <w:kern w:val="2"/>
          <w:sz w:val="24"/>
          <w:szCs w:val="24"/>
          <w:lang w:val="en-US" w:eastAsia="zh-CN" w:bidi="hi-IN"/>
        </w:rPr>
        <w:t>A premanufactured storage shed, for instance, would be allowed, but not premanufactured housing.</w:t>
      </w:r>
      <w:r>
        <w:rPr>
          <w:rFonts w:eastAsia="Noto Serif CJK SC" w:cs="Lohit Devanagari"/>
          <w:i/>
          <w:iCs/>
          <w:color w:val="auto"/>
          <w:kern w:val="2"/>
          <w:sz w:val="24"/>
          <w:szCs w:val="24"/>
          <w:lang w:val="en-US" w:eastAsia="zh-CN" w:bidi="hi-IN"/>
        </w:rPr>
        <w:t>]</w:t>
      </w:r>
    </w:p>
    <w:p>
      <w:pPr>
        <w:pStyle w:val="Normal"/>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t>6.1(</w:t>
      </w:r>
      <w:r>
        <w:rPr/>
        <w:t>m</w:t>
      </w:r>
      <w:r>
        <w:rPr/>
        <w:t xml:space="preserve">) </w:t>
      </w:r>
      <w:r>
        <w:rPr>
          <w:rFonts w:eastAsia="Noto Serif CJK SC" w:cs="Lohit Devanagari"/>
          <w:color w:val="auto"/>
          <w:kern w:val="2"/>
          <w:sz w:val="24"/>
          <w:szCs w:val="24"/>
          <w:u w:val="single"/>
          <w:lang w:val="en-US" w:eastAsia="zh-CN" w:bidi="hi-IN"/>
        </w:rPr>
        <w:t>Roof</w:t>
      </w:r>
      <w:r>
        <w:rPr>
          <w:u w:val="single"/>
        </w:rPr>
        <w:t>.</w:t>
      </w:r>
      <w:r>
        <w:rPr/>
        <w:t xml:space="preserve">  [</w:t>
      </w:r>
      <w:r>
        <w:rPr>
          <w:rFonts w:eastAsia="Noto Serif CJK SC" w:cs="Lohit Devanagari"/>
          <w:color w:val="auto"/>
          <w:kern w:val="2"/>
          <w:sz w:val="24"/>
          <w:szCs w:val="24"/>
          <w:lang w:val="en-US" w:eastAsia="zh-CN" w:bidi="hi-IN"/>
        </w:rPr>
        <w:t>replac</w:t>
      </w:r>
      <w:r>
        <w:rPr/>
        <w:t>ed “</w:t>
      </w:r>
      <w:r>
        <w:rPr>
          <w:rFonts w:eastAsia="Noto Serif CJK SC" w:cs="Lohit Devanagari"/>
          <w:color w:val="auto"/>
          <w:kern w:val="2"/>
          <w:sz w:val="24"/>
          <w:szCs w:val="24"/>
          <w:lang w:val="en-US" w:eastAsia="zh-CN" w:bidi="hi-IN"/>
        </w:rPr>
        <w:t>cedar shingles, wood shake shingles</w:t>
      </w:r>
      <w:r>
        <w:rPr/>
        <w:t xml:space="preserve">” </w:t>
      </w:r>
      <w:r>
        <w:rPr>
          <w:rFonts w:eastAsia="Noto Serif CJK SC" w:cs="Lohit Devanagari"/>
          <w:color w:val="auto"/>
          <w:kern w:val="2"/>
          <w:sz w:val="24"/>
          <w:szCs w:val="24"/>
          <w:lang w:val="en-US" w:eastAsia="zh-CN" w:bidi="hi-IN"/>
        </w:rPr>
        <w:t>with</w:t>
      </w:r>
      <w:r>
        <w:rPr/>
        <w:t xml:space="preserve"> “</w:t>
      </w:r>
      <w:r>
        <w:rPr>
          <w:rFonts w:eastAsia="Noto Serif CJK SC" w:cs="Lohit Devanagari"/>
          <w:color w:val="auto"/>
          <w:kern w:val="2"/>
          <w:sz w:val="24"/>
          <w:szCs w:val="24"/>
          <w:lang w:val="en-US" w:eastAsia="zh-CN" w:bidi="hi-IN"/>
        </w:rPr>
        <w:t>composite shingles</w:t>
      </w:r>
      <w:r>
        <w:rPr/>
        <w:t>”</w:t>
      </w:r>
      <w:r>
        <w:rPr/>
        <w:t xml:space="preserve">]  </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The covering of each roof shall be either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composite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shingles or other materials satisfactory to the ARC.</w:t>
      </w:r>
    </w:p>
    <w:p>
      <w:pPr>
        <w:pStyle w:val="Normal"/>
        <w:bidi w:val="0"/>
        <w:jc w:val="left"/>
        <w:rPr>
          <w:rFonts w:ascii="Times New Roman" w:hAnsi="Times New Roman"/>
          <w:sz w:val="28"/>
          <w:szCs w:val="28"/>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larified that 24 inch overhang only applies to Residence and garage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overhang of every roof on any Residence structure or garage must be at least twenty-four (24) inches.</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w:t>
      </w:r>
      <w:r>
        <w:rPr>
          <w:i/>
          <w:iCs/>
        </w:rPr>
        <w:t xml:space="preserve">Comment: </w:t>
      </w:r>
      <w:r>
        <w:rPr>
          <w:rFonts w:eastAsia="Noto Serif CJK SC" w:cs="Lohit Devanagari"/>
          <w:i/>
          <w:iCs/>
          <w:color w:val="auto"/>
          <w:kern w:val="2"/>
          <w:sz w:val="24"/>
          <w:szCs w:val="24"/>
          <w:lang w:val="en-US" w:eastAsia="zh-CN" w:bidi="hi-IN"/>
        </w:rPr>
        <w:t>Cedar and wood shake shingles are fire hazards, and no longer appropriate</w:t>
      </w:r>
      <w:r>
        <w:rPr>
          <w:rFonts w:eastAsia="Noto Serif CJK SC" w:cs="Lohit Devanagari"/>
          <w:i/>
          <w:iCs/>
          <w:color w:val="auto"/>
          <w:kern w:val="2"/>
          <w:sz w:val="24"/>
          <w:szCs w:val="24"/>
          <w:lang w:val="en-US" w:eastAsia="zh-CN" w:bidi="hi-IN"/>
        </w:rPr>
        <w:t>.</w:t>
      </w:r>
      <w:r>
        <w:rPr>
          <w:rFonts w:eastAsia="Noto Serif CJK SC" w:cs="Lohit Devanagari"/>
          <w:i/>
          <w:iCs/>
          <w:color w:val="auto"/>
          <w:kern w:val="2"/>
          <w:sz w:val="24"/>
          <w:szCs w:val="24"/>
          <w:lang w:val="en-US" w:eastAsia="zh-CN" w:bidi="hi-IN"/>
        </w:rPr>
        <w:t>]</w:t>
      </w:r>
    </w:p>
    <w:p>
      <w:pPr>
        <w:pStyle w:val="Normal"/>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t xml:space="preserve">6.1(l) </w:t>
      </w:r>
      <w:r>
        <w:rPr>
          <w:u w:val="single"/>
        </w:rPr>
        <w:t>Trash and Garbage</w:t>
      </w:r>
      <w:r>
        <w:rPr/>
        <w:t>. Each Lot must utilize the standard trash collection containers in conformity with the standards established by the trash collection service,  contracted by the Owner.</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w:t>
      </w:r>
      <w:r>
        <w:rPr>
          <w:i/>
          <w:iCs/>
        </w:rPr>
        <w:t xml:space="preserve">Comment: </w:t>
      </w:r>
      <w:r>
        <w:rPr>
          <w:rFonts w:eastAsia="Noto Serif CJK SC" w:cs="Lohit Devanagari"/>
          <w:i/>
          <w:iCs/>
          <w:color w:val="auto"/>
          <w:kern w:val="2"/>
          <w:sz w:val="24"/>
          <w:szCs w:val="24"/>
          <w:lang w:val="en-US" w:eastAsia="zh-CN" w:bidi="hi-IN"/>
        </w:rPr>
        <w:t>Previous wording implied the HOA might contract trash service.  It is not the aim of the HOA to limit residents’ choice of trash service.</w:t>
      </w:r>
      <w:r>
        <w:rPr>
          <w:rFonts w:eastAsia="Noto Serif CJK SC" w:cs="Lohit Devanagari"/>
          <w:i/>
          <w:iCs/>
          <w:color w:val="auto"/>
          <w:kern w:val="2"/>
          <w:sz w:val="24"/>
          <w:szCs w:val="24"/>
          <w:lang w:val="en-US" w:eastAsia="zh-CN" w:bidi="hi-IN"/>
        </w:rPr>
        <w:t>]</w:t>
      </w:r>
    </w:p>
    <w:p>
      <w:pPr>
        <w:pStyle w:val="Normal"/>
        <w:rPr>
          <w:rFonts w:ascii="Liberation Serif" w:hAnsi="Liberation Serif" w:eastAsia="Noto Serif CJK SC" w:cs="Lohit Devanagari"/>
          <w:i/>
          <w:i/>
          <w:iCs/>
          <w:color w:val="auto"/>
          <w:kern w:val="2"/>
          <w:sz w:val="24"/>
          <w:szCs w:val="24"/>
          <w:lang w:val="en-US" w:eastAsia="zh-CN" w:bidi="hi-IN"/>
        </w:rPr>
      </w:pPr>
      <w:r>
        <w:rPr>
          <w:rFonts w:eastAsia="Noto Serif CJK SC" w:cs="Lohit Devanagari"/>
          <w:i/>
          <w:iCs/>
          <w:color w:val="auto"/>
          <w:kern w:val="2"/>
          <w:sz w:val="24"/>
          <w:szCs w:val="24"/>
          <w:lang w:val="en-US" w:eastAsia="zh-CN" w:bidi="hi-IN"/>
        </w:rPr>
      </w:r>
    </w:p>
    <w:p>
      <w:pPr>
        <w:pStyle w:val="Normal"/>
        <w:bidi w:val="0"/>
        <w:jc w:val="left"/>
        <w:rPr>
          <w:rFonts w:ascii="Times New Roman" w:hAnsi="Times New Roman"/>
          <w:sz w:val="28"/>
          <w:szCs w:val="28"/>
        </w:rPr>
      </w:pPr>
      <w:r>
        <w:rPr/>
        <w:t xml:space="preserve">6.1(r) </w:t>
      </w:r>
      <w:r>
        <w:rPr>
          <w:u w:val="single"/>
        </w:rPr>
        <w:t>Border Walls and Fences</w:t>
      </w:r>
      <w:r>
        <w:rPr/>
        <w:t>. All border walls and fences shall be subject to approval by the ARC. Barbed wire and chain-link fencing within the Property or along any exterior boundary of the Property is prohibited, except for a small dog run, if ARC approved.</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w:t>
      </w:r>
      <w:r>
        <w:rPr>
          <w:i/>
          <w:iCs/>
        </w:rPr>
        <w:t xml:space="preserve">Comment: </w:t>
      </w:r>
      <w:r>
        <w:rPr>
          <w:rFonts w:eastAsia="Noto Serif CJK SC" w:cs="Lohit Devanagari"/>
          <w:i/>
          <w:iCs/>
          <w:color w:val="auto"/>
          <w:kern w:val="2"/>
          <w:sz w:val="24"/>
          <w:szCs w:val="24"/>
          <w:lang w:val="en-US" w:eastAsia="zh-CN" w:bidi="hi-IN"/>
        </w:rPr>
        <w:t>Chain link fencing has not been allowed by the ARC, but this would make it clear in the covenants.</w:t>
      </w:r>
      <w:r>
        <w:rPr>
          <w:rFonts w:eastAsia="Noto Serif CJK SC" w:cs="Lohit Devanagari"/>
          <w:i/>
          <w:iCs/>
          <w:color w:val="auto"/>
          <w:kern w:val="2"/>
          <w:sz w:val="24"/>
          <w:szCs w:val="24"/>
          <w:lang w:val="en-US" w:eastAsia="zh-CN" w:bidi="hi-IN"/>
        </w:rPr>
        <w:t>]</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t xml:space="preserve">6.1(t) </w:t>
      </w:r>
      <w:r>
        <w:rPr>
          <w:u w:val="single"/>
        </w:rPr>
        <w:t>Restriction on Antennae, Pipes, Utility Lines and Transmitters</w:t>
      </w:r>
      <w:r>
        <w:rPr/>
        <w:t>.</w:t>
      </w:r>
    </w:p>
    <w:p>
      <w:pPr>
        <w:pStyle w:val="Normal"/>
        <w:bidi w:val="0"/>
        <w:jc w:val="left"/>
        <w:rPr>
          <w:rFonts w:ascii="Times New Roman" w:hAnsi="Times New Roman"/>
          <w:sz w:val="28"/>
          <w:szCs w:val="28"/>
        </w:rPr>
      </w:pPr>
      <w:r>
        <w:rPr/>
        <w:t xml:space="preserve">[strike </w:t>
      </w:r>
      <w:r>
        <w:rPr>
          <w:rFonts w:eastAsia="Calibri" w:cs="Calibri"/>
          <w:b w:val="false"/>
          <w:i w:val="false"/>
          <w:caps w:val="false"/>
          <w:smallCaps w:val="false"/>
          <w:strike/>
          <w:color w:val="000000"/>
          <w:position w:val="0"/>
          <w:sz w:val="24"/>
          <w:sz w:val="24"/>
          <w:szCs w:val="24"/>
          <w:u w:val="none"/>
          <w:shd w:fill="auto" w:val="clear"/>
          <w:vertAlign w:val="baseline"/>
        </w:rPr>
        <w:t>No electronic or radio transmitters of any kind other than garage door openers, cordless telephones, cellular phones and security systems shall be operated in or on any structure within or otherwise on any Lot.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 xml:space="preserve">Comment: </w:t>
      </w:r>
      <w:r>
        <w:rPr>
          <w:rFonts w:eastAsia="Noto Serif CJK SC" w:cs="Lohit Devanagari"/>
          <w:i/>
          <w:iCs/>
          <w:color w:val="auto"/>
          <w:kern w:val="2"/>
          <w:sz w:val="24"/>
          <w:szCs w:val="24"/>
          <w:lang w:val="en-US" w:eastAsia="zh-CN" w:bidi="hi-IN"/>
        </w:rPr>
        <w:t>This would give residents the right to use a CB or ham radio if that is their hobby.  Also, this struck clause is outdated, as it forbids wifi, as well.</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eastAsia="Noto Serif CJK SC" w:cs="Lohit Devanagari" w:ascii="Times New Roman" w:hAnsi="Times New Roman"/>
          <w:b/>
          <w:bCs/>
          <w:color w:val="auto"/>
          <w:kern w:val="2"/>
          <w:sz w:val="28"/>
          <w:szCs w:val="28"/>
          <w:u w:val="none"/>
          <w:lang w:val="en-US" w:eastAsia="zh-CN" w:bidi="hi-IN"/>
        </w:rPr>
        <w:t xml:space="preserve">Covenants Update </w:t>
      </w:r>
      <w:r>
        <w:rPr>
          <w:rFonts w:eastAsia="Noto Serif CJK SC" w:cs="Lohit Devanagari" w:ascii="Times New Roman" w:hAnsi="Times New Roman"/>
          <w:b/>
          <w:bCs/>
          <w:color w:val="2A6099"/>
          <w:kern w:val="2"/>
          <w:sz w:val="28"/>
          <w:szCs w:val="28"/>
          <w:u w:val="none"/>
          <w:lang w:val="en-US" w:eastAsia="zh-CN" w:bidi="hi-IN"/>
        </w:rPr>
        <w:t>Group 3</w:t>
      </w:r>
    </w:p>
    <w:p>
      <w:pPr>
        <w:pStyle w:val="Normal"/>
        <w:bidi w:val="0"/>
        <w:jc w:val="left"/>
        <w:rPr>
          <w:rFonts w:ascii="Times New Roman" w:hAnsi="Times New Roman"/>
          <w:sz w:val="28"/>
          <w:szCs w:val="28"/>
        </w:rPr>
      </w:pPr>
      <w:r>
        <w:rPr>
          <w:rFonts w:ascii="Times New Roman" w:hAnsi="Times New Roman"/>
          <w:sz w:val="28"/>
          <w:szCs w:val="28"/>
          <w:u w:val="none"/>
        </w:rPr>
        <w:t xml:space="preserve">[Group 3: </w:t>
      </w:r>
      <w:r>
        <w:rPr>
          <w:rFonts w:eastAsia="Noto Serif CJK SC" w:cs="Lohit Devanagari" w:ascii="Times New Roman" w:hAnsi="Times New Roman"/>
          <w:color w:val="auto"/>
          <w:kern w:val="2"/>
          <w:sz w:val="28"/>
          <w:szCs w:val="28"/>
          <w:u w:val="none"/>
          <w:lang w:val="en-US" w:eastAsia="zh-CN" w:bidi="hi-IN"/>
        </w:rPr>
        <w:t>mainly guests]</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t xml:space="preserve">6.2 (a) </w:t>
      </w:r>
      <w:r>
        <w:rPr>
          <w:u w:val="single"/>
        </w:rPr>
        <w:t>Use Restrictions</w:t>
      </w:r>
      <w:r>
        <w:rPr/>
        <w:t>.</w:t>
      </w:r>
    </w:p>
    <w:p>
      <w:pPr>
        <w:pStyle w:val="Normal"/>
        <w:bidi w:val="0"/>
        <w:jc w:val="left"/>
        <w:rPr>
          <w:rFonts w:ascii="Times New Roman" w:hAnsi="Times New Roman"/>
          <w:sz w:val="28"/>
          <w:szCs w:val="28"/>
        </w:rPr>
      </w:pPr>
      <w:r>
        <w:rPr/>
        <w:t xml:space="preserve">[strike </w:t>
      </w:r>
      <w:r>
        <w:rPr>
          <w:strike/>
        </w:rPr>
        <w:t>No room or rooms in any Residence or parts thereof may be rented or leased and no paying guests shall be quartered in any Residence.</w:t>
      </w:r>
      <w:r>
        <w:rPr/>
        <w:t>]</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 xml:space="preserve">Comment: </w:t>
      </w:r>
      <w:r>
        <w:rPr>
          <w:rFonts w:eastAsia="Noto Serif CJK SC" w:cs="Lohit Devanagari"/>
          <w:i/>
          <w:iCs/>
          <w:color w:val="auto"/>
          <w:kern w:val="2"/>
          <w:sz w:val="24"/>
          <w:szCs w:val="24"/>
          <w:lang w:val="en-US" w:eastAsia="zh-CN" w:bidi="hi-IN"/>
        </w:rPr>
        <w:t>Many residents rent a room to a friend or family.  This is very common as real estate prices continue to rise in Colorado, and we see no reason to restrict families wishing to rent a room.</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t xml:space="preserve">6.2 (b) </w:t>
      </w:r>
      <w:r>
        <w:rPr>
          <w:u w:val="single"/>
        </w:rPr>
        <w:t xml:space="preserve">No </w:t>
      </w:r>
      <w:r>
        <w:rPr>
          <w:u w:val="single"/>
          <w:lang w:val="en-US" w:eastAsia="zh-CN" w:bidi="hi-IN"/>
        </w:rPr>
        <w:t>Short Term Rentals</w:t>
      </w:r>
      <w:r>
        <w:rPr/>
        <w:t xml:space="preserve">. </w:t>
      </w:r>
      <w:r>
        <w:rPr>
          <w:lang w:val="en-US" w:eastAsia="zh-CN" w:bidi="hi-IN"/>
        </w:rPr>
        <w:t>No</w:t>
      </w:r>
      <w:r>
        <w:rPr/>
        <w:t xml:space="preserve"> Lot shall be used or rented for transient, hotel or motel purposes. </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Commercial activities conducted wholly within the home are permitted, such as but not limited to a home office for consulting or bookkeeping, provided that the commercial activity does not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affect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exterior appearance, create noise, nor create business-related traffic to the home</w:t>
      </w:r>
      <w:r>
        <w:rPr/>
        <w:t>.</w:t>
      </w:r>
    </w:p>
    <w:p>
      <w:pPr>
        <w:pStyle w:val="Normal"/>
        <w:bidi w:val="0"/>
        <w:jc w:val="left"/>
        <w:rPr>
          <w:rFonts w:ascii="Times New Roman" w:hAnsi="Times New Roman"/>
          <w:sz w:val="28"/>
          <w:szCs w:val="28"/>
        </w:rPr>
      </w:pPr>
      <w:r>
        <w:rPr/>
        <w:t>[str</w:t>
      </w:r>
      <w:r>
        <w:rPr/>
        <w:t>i</w:t>
      </w:r>
      <w:r>
        <w:rPr/>
        <w:t xml:space="preserve">ke </w:t>
      </w:r>
      <w:r>
        <w:rPr>
          <w:rFonts w:eastAsia="Calibri" w:cs="Calibri"/>
          <w:b w:val="false"/>
          <w:i w:val="false"/>
          <w:caps w:val="false"/>
          <w:smallCaps w:val="false"/>
          <w:strike/>
          <w:color w:val="000000"/>
          <w:position w:val="0"/>
          <w:sz w:val="24"/>
          <w:sz w:val="24"/>
          <w:szCs w:val="24"/>
          <w:u w:val="none"/>
          <w:shd w:fill="auto" w:val="clear"/>
          <w:vertAlign w:val="baseline"/>
        </w:rPr>
        <w:t>Except for those activities conducted as a part of the marketing and development program of the Declarant, no industry, business, trade, commercial activities or home professional pursuits shall be conducted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and add second sentence above: “Commercial activities conducted wholly … nor create business-related traffic to the home.]</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w:t>
      </w:r>
      <w:r>
        <w:rPr>
          <w:i/>
          <w:iCs/>
        </w:rPr>
        <w:t>Comment: During COVID, practically every working resident conducted professional pursuits from their home.  Many continue to do so and many did so before</w:t>
      </w:r>
      <w:r>
        <w:rPr>
          <w:rFonts w:eastAsia="Noto Serif CJK SC" w:cs="Lohit Devanagari"/>
          <w:i/>
          <w:iCs/>
          <w:color w:val="auto"/>
          <w:kern w:val="2"/>
          <w:sz w:val="24"/>
          <w:szCs w:val="24"/>
          <w:lang w:val="en-US" w:eastAsia="zh-CN" w:bidi="hi-IN"/>
        </w:rPr>
        <w:t xml:space="preserve">.  We do not wish to tell residents they may not work from their home, </w:t>
      </w:r>
      <w:r>
        <w:rPr>
          <w:rFonts w:eastAsia="Noto Serif CJK SC" w:cs="Lohit Devanagari"/>
          <w:i/>
          <w:iCs/>
          <w:color w:val="auto"/>
          <w:kern w:val="2"/>
          <w:sz w:val="24"/>
          <w:szCs w:val="24"/>
          <w:lang w:val="en-US" w:eastAsia="zh-CN" w:bidi="hi-IN"/>
        </w:rPr>
        <w:t>but still want to ensure home-based work does not detract from appearance of the neighborhood.]</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6.2 (i) </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Pets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[strike </w:t>
      </w:r>
      <w:r>
        <w:rPr>
          <w:rFonts w:eastAsia="Calibri" w:cs="Calibri"/>
          <w:b w:val="false"/>
          <w:i w:val="false"/>
          <w:caps w:val="false"/>
          <w:smallCaps w:val="false"/>
          <w:strike/>
          <w:color w:val="000000"/>
          <w:position w:val="0"/>
          <w:sz w:val="24"/>
          <w:sz w:val="24"/>
          <w:szCs w:val="24"/>
          <w:u w:val="none"/>
          <w:shd w:fill="auto" w:val="clear"/>
          <w:vertAlign w:val="baseline"/>
        </w:rPr>
        <w:t>approved and licensed in writing by the Executive Board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 xml:space="preserve">Comment: </w:t>
      </w:r>
      <w:r>
        <w:rPr>
          <w:rFonts w:eastAsia="Noto Serif CJK SC" w:cs="Lohit Devanagari"/>
          <w:i/>
          <w:iCs/>
          <w:color w:val="auto"/>
          <w:kern w:val="2"/>
          <w:sz w:val="24"/>
          <w:szCs w:val="24"/>
          <w:lang w:val="en-US" w:eastAsia="zh-CN" w:bidi="hi-IN"/>
        </w:rPr>
        <w:t>The HOA has never tracked dogs and cats of residents.  Livestock and unusual pets are still forbidden.</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6.2 (r) </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Signs and Advertising</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[add “or a single candidate sign not exceeding 18” x 24” for each ballot race”]</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 xml:space="preserve">Comment: First Amendment rights are important in elections.  Colorado law protects the right of  residents to display a modest yard sign </w:t>
      </w:r>
      <w:r>
        <w:rPr>
          <w:rFonts w:eastAsia="Noto Serif CJK SC" w:cs="Lohit Devanagari"/>
          <w:i/>
          <w:iCs/>
          <w:color w:val="auto"/>
          <w:kern w:val="2"/>
          <w:sz w:val="24"/>
          <w:szCs w:val="24"/>
          <w:lang w:val="en-US" w:eastAsia="zh-CN" w:bidi="hi-IN"/>
        </w:rPr>
        <w:t>for each election contest before elections</w:t>
      </w:r>
      <w:r>
        <w:rPr>
          <w:i/>
          <w:iCs/>
        </w:rPr>
        <w:t>, while gaudy communications are still forbidden</w:t>
      </w:r>
      <w:r>
        <w:rPr>
          <w:rFonts w:eastAsia="Noto Serif CJK SC" w:cs="Lohit Devanagari"/>
          <w:i/>
          <w:iCs/>
          <w:color w:val="auto"/>
          <w:kern w:val="2"/>
          <w:sz w:val="24"/>
          <w:szCs w:val="24"/>
          <w:lang w:val="en-US" w:eastAsia="zh-CN" w:bidi="hi-IN"/>
        </w:rPr>
        <w:t>.</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eastAsia="Noto Serif CJK SC" w:cs="Lohit Devanagari" w:ascii="Times New Roman" w:hAnsi="Times New Roman"/>
          <w:b/>
          <w:bCs/>
          <w:color w:val="auto"/>
          <w:kern w:val="2"/>
          <w:sz w:val="28"/>
          <w:szCs w:val="28"/>
          <w:u w:val="none"/>
          <w:lang w:val="en-US" w:eastAsia="zh-CN" w:bidi="hi-IN"/>
        </w:rPr>
        <w:t xml:space="preserve">Covenants Update </w:t>
      </w:r>
      <w:r>
        <w:rPr>
          <w:rFonts w:eastAsia="Noto Serif CJK SC" w:cs="Lohit Devanagari" w:ascii="Times New Roman" w:hAnsi="Times New Roman"/>
          <w:b/>
          <w:bCs/>
          <w:color w:val="2A6099"/>
          <w:kern w:val="2"/>
          <w:sz w:val="28"/>
          <w:szCs w:val="28"/>
          <w:u w:val="none"/>
          <w:lang w:val="en-US" w:eastAsia="zh-CN" w:bidi="hi-IN"/>
        </w:rPr>
        <w:t>Group 4</w:t>
      </w:r>
    </w:p>
    <w:p>
      <w:pPr>
        <w:pStyle w:val="Normal"/>
        <w:bidi w:val="0"/>
        <w:jc w:val="left"/>
        <w:rPr>
          <w:rFonts w:ascii="Times New Roman" w:hAnsi="Times New Roman"/>
          <w:sz w:val="28"/>
          <w:szCs w:val="28"/>
        </w:rPr>
      </w:pPr>
      <w:r>
        <w:rPr>
          <w:rFonts w:ascii="Times New Roman" w:hAnsi="Times New Roman"/>
          <w:sz w:val="28"/>
          <w:szCs w:val="28"/>
          <w:u w:val="none"/>
        </w:rPr>
        <w:t>[Group 4: mainly recreational vehicles]</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t xml:space="preserve">6.2(g) </w:t>
      </w:r>
      <w:r>
        <w:rPr>
          <w:u w:val="single"/>
        </w:rPr>
        <w:t>Storage of Vehicles</w:t>
      </w:r>
      <w:r>
        <w:rPr/>
        <w:t xml:space="preserve">.  [change second half of paragraph to the following:]  </w:t>
      </w:r>
      <w:r>
        <w:rPr>
          <w:lang w:val="en-US" w:eastAsia="zh-CN" w:bidi="hi-IN"/>
        </w:rPr>
        <w:t>Auxiliary Vehicles are vehicles such as a</w:t>
      </w:r>
      <w:r>
        <w:rPr/>
        <w:t xml:space="preserve"> boat, camper (on or off supporting vehicles), trailer, tractor, truck, towed trailer unit, motorcycle, snowmobile, recreational vehicle or any other vehicle, the primary purpose of which is for recreational or sporting. With prior ARC approval, Auxiliary </w:t>
      </w:r>
      <w:r>
        <w:rPr>
          <w:lang w:val="en-US" w:eastAsia="zh-CN" w:bidi="hi-IN"/>
        </w:rPr>
        <w:t>V</w:t>
      </w:r>
      <w:r>
        <w:rPr/>
        <w:t xml:space="preserve">ehicles may be stored in a fenced area, </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with a fence no higher than seven (7) feet, completely</w:t>
      </w:r>
      <w:r>
        <w:rPr/>
        <w:t xml:space="preserve"> concealed from the ground-level view of other Lots and roads.  Otherwise, all Auxiliary Vehicles </w:t>
      </w:r>
      <w:r>
        <w:rPr>
          <w:lang w:val="en-US" w:eastAsia="zh-CN" w:bidi="hi-IN"/>
        </w:rPr>
        <w:t>must be parked</w:t>
      </w:r>
      <w:r>
        <w:rPr/>
        <w:t xml:space="preserve"> within the garage or offsite.  RVs, </w:t>
      </w:r>
      <w:r>
        <w:rPr/>
        <w:t>boats</w:t>
      </w:r>
      <w:r>
        <w:rPr/>
        <w:t xml:space="preserve"> and campers may be parked on the property at the side or rear or in the driveway </w:t>
      </w:r>
      <w:r>
        <w:rPr>
          <w:lang w:val="en-US" w:eastAsia="zh-CN" w:bidi="hi-IN"/>
        </w:rPr>
        <w:t>for no more than two (2) weeks</w:t>
      </w:r>
      <w:r>
        <w:rPr/>
        <w:t>.   With written notice to an Owner, the Association and the ARC shall have the right to enter unenclosed portions of the Lot to remove and store, at the Owner’s expense, vehicles in violation of this Paragraph.</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 xml:space="preserve">Comment: </w:t>
      </w:r>
      <w:r>
        <w:rPr>
          <w:rFonts w:eastAsia="Noto Serif CJK SC" w:cs="Lohit Devanagari"/>
          <w:i/>
          <w:iCs/>
          <w:color w:val="auto"/>
          <w:kern w:val="2"/>
          <w:sz w:val="24"/>
          <w:szCs w:val="24"/>
          <w:lang w:val="en-US" w:eastAsia="zh-CN" w:bidi="hi-IN"/>
        </w:rPr>
        <w:t>While we wish to prevent unsightly recreational vehicles staying in the front of a home, residents would be permitted to conceal such vehicles appropriately, with ARC approval of the fencing.</w:t>
      </w:r>
    </w:p>
    <w:p>
      <w:pPr>
        <w:pStyle w:val="Normal"/>
        <w:bidi w:val="0"/>
        <w:jc w:val="left"/>
        <w:rPr>
          <w:rFonts w:ascii="Times New Roman" w:hAnsi="Times New Roman"/>
          <w:sz w:val="28"/>
          <w:szCs w:val="28"/>
        </w:rPr>
      </w:pPr>
      <w:r>
        <w:rPr/>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Calibri">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1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0"/>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Onormal">
    <w:name w:val="LO-normal"/>
    <w:qFormat/>
    <w:pPr>
      <w:widowControl/>
      <w:suppressAutoHyphens w:val="true"/>
      <w:bidi w:val="0"/>
      <w:spacing w:lineRule="auto" w:line="276" w:before="0" w:after="200"/>
      <w:jc w:val="left"/>
    </w:pPr>
    <w:rPr>
      <w:rFonts w:ascii="Calibri" w:hAnsi="Calibri" w:eastAsia="Calibri" w:cs="Calibri"/>
      <w:color w:val="auto"/>
      <w:kern w:val="0"/>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TotalTime>
  <Application>LibreOffice/6.4.7.2$Linux_X86_64 LibreOffice_project/40$Build-2</Application>
  <Pages>3</Pages>
  <Words>1159</Words>
  <Characters>6087</Characters>
  <CharactersWithSpaces>7243</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2021-10-12T18:22:14Z</dcterms:created>
  <dc:creator/>
  <dc:description/>
  <dc:language>en-US</dc:language>
  <cp:lastModifiedBy/>
  <dcterms:modified xsi:type="dcterms:W3CDTF">2021-12-01T23:54:56Z</dcterms:modified>
  <cp:revision>5</cp:revision>
  <dc:subject/>
  <dc:title/>
</cp:coreProperties>
</file>