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ly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 (thanks to Renee)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Mowing plans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Etnyre / Jones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ARC Report (including Spring clean-up plan for entrances) –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Covenants amendments – first reading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 xml:space="preserve">Summer Hawkridge Get-Together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Update/any final requests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- 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Bob Brodt’s house at 19680 Wing Tip Road on July 10, 2021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August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LibreOffice/6.4.7.2$Linux_X86_64 LibreOffice_project/40$Build-2</Application>
  <Pages>1</Pages>
  <Words>185</Words>
  <Characters>970</Characters>
  <CharactersWithSpaces>1133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2021-07-01T17:13:35Z</dcterms:modified>
  <cp:revision>26</cp:revision>
  <dc:subject/>
  <dc:title/>
</cp:coreProperties>
</file>