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June 9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pPr>
      <w:r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minutes of previous meeting (thanks to Renee)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Boat on Soaring Wing - Approve final invoice from attorney. - Witt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4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Boat on Soaring Wing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– Enforcement Referral from ARC: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Further action (see email attached)?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–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ARC/Witt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>- Enforcement policy language consideration, do we pursue covenants amendment?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5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Discuss and/or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pprove landscaping expenditure to remediate HOA common area pond.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A.6</w:t>
        <w:tab/>
        <w:t>Summer Hawkridge Get-Together – Approve any requested budget - Steely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ab/>
        <w:t>Bob Brodt’s house at 19680 Wing Tip Road on July 10, 2021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ab/>
        <w:t>Committee will bring to this meeting:  final budget, any asks for help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7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Hold a July meeting, or resume with next meeting in August?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  <w:r>
        <w:rPr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Mowing plans –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Etnyre / Jones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Treasurer’s Report – 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ARC Report (including Spring clean-up plan for entrances) –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D.5</w:t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Motion to adjourn - 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July 14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 or August 11, 2021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  <w:szCs w:val="16"/>
              </w:rPr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Janet Glock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Normal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LibreOffice/6.4.7.2$Linux_X86_64 LibreOffice_project/40$Build-2</Application>
  <Pages>1</Pages>
  <Words>259</Words>
  <Characters>1350</Characters>
  <CharactersWithSpaces>1587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2021-06-05T09:59:00Z</dcterms:modified>
  <cp:revision>23</cp:revision>
  <dc:subject/>
  <dc:title/>
</cp:coreProperties>
</file>