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Hawk Ridge HOA Board Meeting </w:t>
      </w:r>
      <w:r>
        <w:rPr>
          <w:rFonts w:eastAsia="Noto Serif CJK SC" w:cs="Lohit Devanagari" w:ascii="Arial" w:hAnsi="Arial"/>
          <w:b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Minutes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April 14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firstLine="72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 xml:space="preserve">Meeting was called to order at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6:07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Quorum was met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Motion to approve/amend agenda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Agenda approved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A.2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minutes of previous meeting (thanks to Renee)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 xml:space="preserve">March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m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 xml:space="preserve">inutes approval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tabled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 xml:space="preserve"> for next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Boat on Soaring Wing – Enforcement Referral from ARC: Update –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Attorney Leonard Rioth engaged – Certified letter send to Milt Johnson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3 options for enforcement discussed: lawsuit, mediation, hearing/fine/lien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Attorney suggests hearing/fine/lien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>Milt Johnson agreed to consider building a fence to conceal boat in back of property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 xml:space="preserve">Board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approv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ed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an exception for this boat, agreeing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that this remediation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is acceptable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,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 xml:space="preserve">if a date for completion could be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d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etermined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by May meeting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>Ken Witt will bring language for consistent enforcement language.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>Board will continue consideration of pursuing covenant changes.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Felix will check RV in trees on Soaring Wing has/has not been moved.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D.2</w:t>
        <w:tab/>
        <w:t>Treasurer’s Report – Including tax refilings update – Etnyre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D.3</w:t>
        <w:tab/>
        <w:t>ARC Report (including HOA common area trash/weed complaint)– 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Anderson fence approved. 19870 BWT fence approved.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ab/>
        <w:t>Lauer’s Soaring Wing fence approval pending.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ab/>
        <w:t>Robert Ginnett has brought request for remediation of HOA common area pond.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D.4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Fence guidelines – Witt</w:t>
      </w:r>
    </w:p>
    <w:p>
      <w:pPr>
        <w:pStyle w:val="TextBody"/>
        <w:bidi w:val="0"/>
        <w:spacing w:lineRule="auto" w:line="331" w:before="0" w:after="0"/>
        <w:jc w:val="both"/>
        <w:rPr>
          <w:color w:val="C9211E"/>
        </w:rPr>
      </w:pPr>
      <w:r>
        <w:rPr>
          <w:rFonts w:eastAsia="Noto Serif CJK SC" w:cs="Lohit Devanagari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With advice from ARC, board agreed fence guidelines will not be drafted, ARC determination</w:t>
      </w:r>
    </w:p>
    <w:p>
      <w:pPr>
        <w:pStyle w:val="TextBody"/>
        <w:bidi w:val="0"/>
        <w:spacing w:lineRule="auto" w:line="331" w:before="0" w:after="0"/>
        <w:jc w:val="both"/>
        <w:rPr>
          <w:color w:val="C9211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ab/>
        <w:t xml:space="preserve">  in light of covenants will be relied upon.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D.5</w:t>
        <w:tab/>
        <w:t>Requested info for May meeting regarding Summer Hawkridge Get-Together - Witt/Steely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  <w:t>Can committee bring: date, location, estimated budget, any asks for help?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Does committee want to invite Hawk Ridge West, or stay focused on Hawk Ridge homeowners?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D.6</w:t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>Notice to homeowners about mowing, and arrange HOA mowing of roadside and common area.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sz w:val="20"/>
          <w:u w:val="none"/>
          <w:effect w:val="none"/>
        </w:rPr>
        <w:tab/>
        <w:t>Spring cleanup of entrances, cracks (and painting) on signs.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Motion to adjourn    </w:t>
        <w:tab/>
        <w:t>-</w:t>
        <w:tab/>
        <w:t xml:space="preserve">Meeting was adjourned at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>7:19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9211E"/>
          <w:kern w:val="2"/>
          <w:sz w:val="20"/>
          <w:szCs w:val="24"/>
          <w:u w:val="none"/>
          <w:effect w:val="none"/>
          <w:lang w:val="en-US" w:eastAsia="zh-CN" w:bidi="hi-IN"/>
        </w:rPr>
        <w:t xml:space="preserve">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May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1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sz w:val="16"/>
                <w:szCs w:val="16"/>
              </w:rPr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 xml:space="preserve">X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Janet Glock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John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eastAsia="Noto Serif CJK SC" w:cs="Lohit Devanaga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X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  <w:r>
        <w:br w:type="page"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66</TotalTime>
  <Application>LibreOffice/6.4.7.2$Linux_X86_64 LibreOffice_project/40$Build-2</Application>
  <Pages>3</Pages>
  <Words>381</Words>
  <Characters>2099</Characters>
  <CharactersWithSpaces>2473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2021-06-05T09:42:24Z</dcterms:modified>
  <cp:revision>21</cp:revision>
  <dc:subject/>
  <dc:title/>
</cp:coreProperties>
</file>